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85916" w14:textId="77777777" w:rsidR="00866CB1" w:rsidRDefault="00866CB1" w:rsidP="00866CB1">
      <w:pPr>
        <w:pStyle w:val="Szvegtrzs"/>
        <w:spacing w:after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H-JÉ-III-B-60/2022. számú határozat</w:t>
      </w:r>
    </w:p>
    <w:p w14:paraId="275E51D9" w14:textId="77777777" w:rsidR="00866CB1" w:rsidRDefault="00866CB1" w:rsidP="00866CB1">
      <w:pPr>
        <w:pStyle w:val="Szvegtrzs"/>
        <w:spacing w:after="0"/>
        <w:rPr>
          <w:rFonts w:ascii="Calibri" w:hAnsi="Calibri"/>
          <w:sz w:val="22"/>
          <w:szCs w:val="22"/>
        </w:rPr>
      </w:pPr>
    </w:p>
    <w:p w14:paraId="6876B5CA" w14:textId="77777777" w:rsidR="00866CB1" w:rsidRDefault="00866CB1" w:rsidP="00866CB1">
      <w:pPr>
        <w:pStyle w:val="Szvegtrzs"/>
        <w:spacing w:after="0"/>
        <w:rPr>
          <w:rFonts w:ascii="Calibri" w:hAnsi="Calibri"/>
          <w:sz w:val="22"/>
          <w:szCs w:val="22"/>
        </w:rPr>
      </w:pPr>
    </w:p>
    <w:p w14:paraId="2D28FCEC" w14:textId="77777777" w:rsidR="00866CB1" w:rsidRDefault="00866CB1" w:rsidP="00866CB1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</w:t>
      </w:r>
      <w:proofErr w:type="spellStart"/>
      <w:r>
        <w:rPr>
          <w:rFonts w:ascii="Calibri" w:hAnsi="Calibri"/>
          <w:b/>
          <w:bCs/>
          <w:sz w:val="22"/>
          <w:szCs w:val="22"/>
        </w:rPr>
        <w:t>Primestone</w:t>
      </w:r>
      <w:proofErr w:type="spellEnd"/>
      <w:r>
        <w:rPr>
          <w:rFonts w:ascii="Calibri" w:hAnsi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bCs/>
          <w:sz w:val="22"/>
          <w:szCs w:val="22"/>
        </w:rPr>
        <w:t>Alpha</w:t>
      </w:r>
      <w:proofErr w:type="spellEnd"/>
      <w:r>
        <w:rPr>
          <w:rFonts w:ascii="Calibri" w:hAnsi="Calibri"/>
          <w:b/>
          <w:bCs/>
          <w:sz w:val="22"/>
          <w:szCs w:val="22"/>
        </w:rPr>
        <w:t xml:space="preserve"> Ingatlan Befektetési Alapkezelő Zártkörűen Működő Részvénytársaságnál</w:t>
      </w:r>
      <w:r>
        <w:rPr>
          <w:rFonts w:ascii="Calibri" w:hAnsi="Calibri"/>
          <w:sz w:val="22"/>
          <w:szCs w:val="22"/>
        </w:rPr>
        <w:t xml:space="preserve"> (székhelye: </w:t>
      </w:r>
      <w:hyperlink r:id="rId7" w:history="1">
        <w:r>
          <w:rPr>
            <w:rStyle w:val="Hiperhivatkozs"/>
            <w:rFonts w:ascii="Calibri" w:hAnsi="Calibri"/>
            <w:color w:val="auto"/>
            <w:sz w:val="22"/>
            <w:szCs w:val="22"/>
            <w:u w:val="none"/>
          </w:rPr>
          <w:t>1123 Budapest, Alkotás utca 55-61. 5. em.</w:t>
        </w:r>
      </w:hyperlink>
      <w:r>
        <w:rPr>
          <w:rFonts w:ascii="Calibri" w:hAnsi="Calibri"/>
          <w:sz w:val="22"/>
          <w:szCs w:val="22"/>
        </w:rPr>
        <w:t>; cégjegyzékszáma: 01-10-049892) (</w:t>
      </w:r>
      <w:r>
        <w:rPr>
          <w:rFonts w:ascii="Calibri" w:hAnsi="Calibri"/>
          <w:b/>
          <w:sz w:val="22"/>
          <w:szCs w:val="22"/>
        </w:rPr>
        <w:t>Alapkezelő</w:t>
      </w:r>
      <w:r>
        <w:rPr>
          <w:rFonts w:ascii="Calibri" w:hAnsi="Calibri"/>
          <w:sz w:val="22"/>
          <w:szCs w:val="22"/>
        </w:rPr>
        <w:t>) hivatalból lefolytatott átfogó vizsgálat megállapításai alapján a Magyar Nemzeti Bank (székhelye: 1013 Budapest, Krisztina krt. 55., telephelye: 1122 Budapest, Krisztina krt. 6.) (</w:t>
      </w:r>
      <w:r>
        <w:rPr>
          <w:rFonts w:ascii="Calibri" w:hAnsi="Calibri"/>
          <w:b/>
          <w:sz w:val="22"/>
          <w:szCs w:val="22"/>
        </w:rPr>
        <w:t>MNB</w:t>
      </w:r>
      <w:r>
        <w:rPr>
          <w:rFonts w:ascii="Calibri" w:hAnsi="Calibri"/>
          <w:sz w:val="22"/>
          <w:szCs w:val="22"/>
        </w:rPr>
        <w:t>) az alábbi</w:t>
      </w:r>
    </w:p>
    <w:p w14:paraId="187BAADA" w14:textId="77777777" w:rsidR="00866CB1" w:rsidRDefault="00866CB1" w:rsidP="00866CB1">
      <w:pPr>
        <w:jc w:val="both"/>
        <w:rPr>
          <w:rFonts w:ascii="Calibri" w:hAnsi="Calibri"/>
          <w:sz w:val="22"/>
          <w:szCs w:val="22"/>
        </w:rPr>
      </w:pPr>
    </w:p>
    <w:p w14:paraId="5B561AC0" w14:textId="77777777" w:rsidR="00866CB1" w:rsidRDefault="00866CB1" w:rsidP="00866CB1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h a t á r o z a t o t</w:t>
      </w:r>
    </w:p>
    <w:p w14:paraId="114D2260" w14:textId="77777777" w:rsidR="00866CB1" w:rsidRDefault="00866CB1" w:rsidP="00866CB1">
      <w:pPr>
        <w:pStyle w:val="Szvegtrzs"/>
        <w:spacing w:after="0"/>
        <w:rPr>
          <w:rFonts w:ascii="Calibri" w:hAnsi="Calibri"/>
          <w:sz w:val="22"/>
          <w:szCs w:val="22"/>
        </w:rPr>
      </w:pPr>
    </w:p>
    <w:p w14:paraId="572C828F" w14:textId="77777777" w:rsidR="00866CB1" w:rsidRDefault="00866CB1" w:rsidP="00866CB1">
      <w:pPr>
        <w:pStyle w:val="Szvegtrzs"/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hozza.</w:t>
      </w:r>
    </w:p>
    <w:p w14:paraId="61997EF0" w14:textId="77777777" w:rsidR="00866CB1" w:rsidRDefault="00866CB1" w:rsidP="00866CB1">
      <w:pPr>
        <w:jc w:val="both"/>
        <w:rPr>
          <w:rFonts w:ascii="Calibri" w:hAnsi="Calibri"/>
          <w:b/>
          <w:sz w:val="22"/>
          <w:szCs w:val="22"/>
        </w:rPr>
      </w:pPr>
    </w:p>
    <w:p w14:paraId="58A7B8F8" w14:textId="77777777" w:rsidR="00866CB1" w:rsidRDefault="00866CB1" w:rsidP="00866CB1">
      <w:pPr>
        <w:jc w:val="both"/>
        <w:rPr>
          <w:rFonts w:ascii="Calibri" w:hAnsi="Calibri"/>
          <w:b/>
          <w:sz w:val="22"/>
          <w:szCs w:val="22"/>
        </w:rPr>
      </w:pPr>
      <w:bookmarkStart w:id="0" w:name="_Hlk112677170"/>
      <w:r>
        <w:rPr>
          <w:rFonts w:ascii="Calibri" w:hAnsi="Calibri"/>
          <w:b/>
          <w:sz w:val="22"/>
          <w:szCs w:val="22"/>
        </w:rPr>
        <w:t>I. Az MNB felszólítja az Alapkezelőt, hogy tevékenysége végzése során folyamatosan, de legkésőbb a határozat kézhezvételét követő 90 napon belül</w:t>
      </w:r>
      <w:bookmarkEnd w:id="0"/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eastAsia="Calibri" w:hAnsi="Calibri"/>
          <w:bCs/>
          <w:color w:val="000000"/>
          <w:sz w:val="22"/>
          <w:szCs w:val="22"/>
          <w:lang w:eastAsia="en-US"/>
        </w:rPr>
        <w:t xml:space="preserve">a kezelésében lévő befektetési alapok </w:t>
      </w:r>
      <w:r>
        <w:rPr>
          <w:rFonts w:ascii="Calibri" w:eastAsia="Calibri" w:hAnsi="Calibri"/>
          <w:sz w:val="22"/>
          <w:szCs w:val="22"/>
        </w:rPr>
        <w:t>nettó eszközértékének kiszámítását olyan gyakorisággal végezze el, amely megfelel az egyes befektetési alapok befektetési jegyei kibocsátási és visszaváltási gyakoriságának, és e gyakorlatát a kapcsolódó kezelési szabályzatában is megfelelő módon rögzítse.</w:t>
      </w:r>
    </w:p>
    <w:p w14:paraId="356FDEA2" w14:textId="77777777" w:rsidR="00866CB1" w:rsidRDefault="00866CB1" w:rsidP="00866CB1">
      <w:pPr>
        <w:ind w:left="644"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</w:p>
    <w:p w14:paraId="1FBCACD8" w14:textId="77777777" w:rsidR="00866CB1" w:rsidRDefault="00866CB1" w:rsidP="00866CB1">
      <w:pPr>
        <w:jc w:val="both"/>
        <w:rPr>
          <w:rFonts w:ascii="Calibri" w:eastAsia="Calibri" w:hAnsi="Calibri"/>
          <w:b/>
          <w:color w:val="000000"/>
          <w:sz w:val="22"/>
          <w:szCs w:val="22"/>
          <w:lang w:eastAsia="en-US"/>
        </w:rPr>
      </w:pPr>
      <w:r>
        <w:rPr>
          <w:rFonts w:ascii="Calibri" w:eastAsia="Calibri" w:hAnsi="Calibri"/>
          <w:b/>
          <w:color w:val="000000"/>
          <w:sz w:val="22"/>
          <w:szCs w:val="22"/>
          <w:lang w:eastAsia="en-US"/>
        </w:rPr>
        <w:t xml:space="preserve">II. Az MNB felszólítja az Alapkezelőt, hogy tevékenysége végzése során folyamatosan, de legkésőbb a határozat kézhezvételét követő 180 napon belül </w:t>
      </w:r>
    </w:p>
    <w:p w14:paraId="243F9298" w14:textId="77777777" w:rsidR="00866CB1" w:rsidRDefault="00866CB1" w:rsidP="00866CB1">
      <w:pPr>
        <w:pStyle w:val="Listaszerbekezds"/>
        <w:numPr>
          <w:ilvl w:val="0"/>
          <w:numId w:val="1"/>
        </w:numPr>
        <w:jc w:val="both"/>
        <w:rPr>
          <w:rFonts w:ascii="Calibri" w:eastAsia="Calibri" w:hAnsi="Calibri"/>
          <w:b/>
          <w:color w:val="000000"/>
        </w:rPr>
      </w:pPr>
      <w:r>
        <w:rPr>
          <w:rFonts w:ascii="Calibri" w:eastAsia="Calibri" w:hAnsi="Calibri"/>
          <w:bCs/>
          <w:color w:val="000000"/>
        </w:rPr>
        <w:t xml:space="preserve">a kezelt adatok bizalmasságának, sértetlenségének és rendelkezésre állásának figyelembevételével alakítsa ki adatbesorolási rendszerét, melynek keretében </w:t>
      </w:r>
    </w:p>
    <w:p w14:paraId="35E78692" w14:textId="77777777" w:rsidR="00866CB1" w:rsidRDefault="00866CB1" w:rsidP="00866CB1">
      <w:pPr>
        <w:pStyle w:val="Listaszerbekezds"/>
        <w:numPr>
          <w:ilvl w:val="0"/>
          <w:numId w:val="2"/>
        </w:numPr>
        <w:jc w:val="both"/>
        <w:rPr>
          <w:rFonts w:ascii="Calibri" w:eastAsia="Calibri" w:hAnsi="Calibri"/>
          <w:b/>
          <w:color w:val="000000"/>
        </w:rPr>
      </w:pPr>
      <w:r>
        <w:rPr>
          <w:rFonts w:ascii="Calibri" w:eastAsia="Calibri" w:hAnsi="Calibri"/>
          <w:bCs/>
          <w:color w:val="000000"/>
        </w:rPr>
        <w:t>határozza meg a biztonsági osztályokat, azokba sorolja be az egyes adatköröket és az azokat kezelő informatikai rendszereket, megoldásokat,</w:t>
      </w:r>
    </w:p>
    <w:p w14:paraId="0E224F1B" w14:textId="77777777" w:rsidR="00866CB1" w:rsidRDefault="00866CB1" w:rsidP="00866CB1">
      <w:pPr>
        <w:pStyle w:val="Listaszerbekezds"/>
        <w:numPr>
          <w:ilvl w:val="0"/>
          <w:numId w:val="2"/>
        </w:numPr>
        <w:jc w:val="both"/>
        <w:rPr>
          <w:rFonts w:ascii="Calibri" w:eastAsia="Calibri" w:hAnsi="Calibri"/>
          <w:b/>
          <w:color w:val="000000"/>
        </w:rPr>
      </w:pPr>
      <w:r>
        <w:rPr>
          <w:rFonts w:ascii="Calibri" w:eastAsia="Calibri" w:hAnsi="Calibri"/>
          <w:bCs/>
          <w:color w:val="000000"/>
        </w:rPr>
        <w:t xml:space="preserve">dolgozza ki a kapcsolódó szükséges védelmi intézkedéseket, továbbá </w:t>
      </w:r>
    </w:p>
    <w:p w14:paraId="55417DE6" w14:textId="77777777" w:rsidR="00866CB1" w:rsidRDefault="00866CB1" w:rsidP="00866CB1">
      <w:pPr>
        <w:pStyle w:val="Listaszerbekezds"/>
        <w:numPr>
          <w:ilvl w:val="0"/>
          <w:numId w:val="2"/>
        </w:numPr>
        <w:jc w:val="both"/>
        <w:rPr>
          <w:rFonts w:ascii="Calibri" w:eastAsia="Calibri" w:hAnsi="Calibri"/>
          <w:b/>
          <w:color w:val="000000"/>
        </w:rPr>
      </w:pPr>
      <w:r>
        <w:rPr>
          <w:rFonts w:ascii="Calibri" w:eastAsia="Calibri" w:hAnsi="Calibri"/>
          <w:bCs/>
          <w:color w:val="000000"/>
        </w:rPr>
        <w:t>szabályzataiban egyértelműen rögzítse az adatköröket és a besorolás szabályait;</w:t>
      </w:r>
    </w:p>
    <w:p w14:paraId="4C87B825" w14:textId="77777777" w:rsidR="00866CB1" w:rsidRDefault="00866CB1" w:rsidP="00866CB1">
      <w:pPr>
        <w:pStyle w:val="Listaszerbekezds"/>
        <w:numPr>
          <w:ilvl w:val="0"/>
          <w:numId w:val="1"/>
        </w:numPr>
        <w:jc w:val="both"/>
        <w:rPr>
          <w:rFonts w:ascii="Calibri" w:eastAsia="Calibri" w:hAnsi="Calibri"/>
          <w:bCs/>
          <w:color w:val="000000"/>
        </w:rPr>
      </w:pPr>
      <w:r>
        <w:rPr>
          <w:rFonts w:ascii="Calibri" w:eastAsia="Calibri" w:hAnsi="Calibri"/>
          <w:bCs/>
          <w:color w:val="000000"/>
        </w:rPr>
        <w:t>az informatikai kockázatelemzésével összhangban vizsgálja felül a határvédelmi, behatolásvédelmi, behatolás megelőzési gyakorlatát, továbbá technikai kontrollok alkalmazásával akadályozza meg a kártékony kódokat hordozó internetes tartalmakhoz való hozzáférést, illetve kényszerítse ki az engedélyezett szoftverek használatát, valamint alakítson ki és alkalmazzon kockázatarányos védelmi intézkedéseket;</w:t>
      </w:r>
    </w:p>
    <w:p w14:paraId="0DB04A3F" w14:textId="77777777" w:rsidR="00866CB1" w:rsidRDefault="00866CB1" w:rsidP="00866CB1">
      <w:pPr>
        <w:pStyle w:val="Listaszerbekezds"/>
        <w:numPr>
          <w:ilvl w:val="0"/>
          <w:numId w:val="1"/>
        </w:numPr>
        <w:jc w:val="both"/>
        <w:rPr>
          <w:rFonts w:ascii="Calibri" w:eastAsia="Calibri" w:hAnsi="Calibri"/>
          <w:bCs/>
          <w:color w:val="000000"/>
        </w:rPr>
      </w:pPr>
      <w:r>
        <w:rPr>
          <w:rFonts w:ascii="Calibri" w:eastAsia="Calibri" w:hAnsi="Calibri"/>
          <w:bCs/>
          <w:color w:val="000000"/>
        </w:rPr>
        <w:t>készítse el a felhasználó- és jogosultságkezelésre vonatkozó – informatikai és informatikai biztonsági szabályozási környezetének megfelelő – részletes szabályozását, melynek keretében</w:t>
      </w:r>
    </w:p>
    <w:p w14:paraId="3F1D0E75" w14:textId="77777777" w:rsidR="00866CB1" w:rsidRDefault="00866CB1" w:rsidP="00866CB1">
      <w:pPr>
        <w:pStyle w:val="Listaszerbekezds"/>
        <w:numPr>
          <w:ilvl w:val="0"/>
          <w:numId w:val="2"/>
        </w:numPr>
        <w:jc w:val="both"/>
        <w:rPr>
          <w:rFonts w:ascii="Calibri" w:eastAsia="Calibri" w:hAnsi="Calibri"/>
          <w:bCs/>
          <w:color w:val="000000"/>
        </w:rPr>
      </w:pPr>
      <w:r>
        <w:rPr>
          <w:rFonts w:ascii="Calibri" w:eastAsia="Calibri" w:hAnsi="Calibri"/>
          <w:bCs/>
          <w:color w:val="000000"/>
        </w:rPr>
        <w:t xml:space="preserve">alakítsa ki a felhasználó, jogosultságkezelési és jelszó alkalmazási beállításait, különös figyelemmel az összeférhetetlen szerepkörökre és azok nyilvántartására és felülvizsgálatára, </w:t>
      </w:r>
    </w:p>
    <w:p w14:paraId="58C0617D" w14:textId="77777777" w:rsidR="00866CB1" w:rsidRDefault="00866CB1" w:rsidP="00866CB1">
      <w:pPr>
        <w:pStyle w:val="Listaszerbekezds"/>
        <w:numPr>
          <w:ilvl w:val="0"/>
          <w:numId w:val="2"/>
        </w:numPr>
        <w:jc w:val="both"/>
        <w:rPr>
          <w:rFonts w:ascii="Calibri" w:eastAsia="Calibri" w:hAnsi="Calibri"/>
          <w:bCs/>
          <w:color w:val="000000"/>
        </w:rPr>
      </w:pPr>
      <w:r>
        <w:rPr>
          <w:rFonts w:ascii="Calibri" w:eastAsia="Calibri" w:hAnsi="Calibri"/>
          <w:bCs/>
          <w:color w:val="000000"/>
        </w:rPr>
        <w:t xml:space="preserve">gondoskodjon szabályozása és </w:t>
      </w:r>
      <w:bookmarkStart w:id="1" w:name="_Hlk114742500"/>
      <w:r>
        <w:rPr>
          <w:rFonts w:ascii="Calibri" w:eastAsia="Calibri" w:hAnsi="Calibri"/>
          <w:bCs/>
          <w:color w:val="000000"/>
        </w:rPr>
        <w:t xml:space="preserve">jelszókezelési gyakorlatának összhangjáról, </w:t>
      </w:r>
      <w:bookmarkEnd w:id="1"/>
    </w:p>
    <w:p w14:paraId="6768E115" w14:textId="77777777" w:rsidR="00866CB1" w:rsidRDefault="00866CB1" w:rsidP="00866CB1">
      <w:pPr>
        <w:pStyle w:val="Listaszerbekezds"/>
        <w:numPr>
          <w:ilvl w:val="0"/>
          <w:numId w:val="2"/>
        </w:numPr>
        <w:jc w:val="both"/>
        <w:rPr>
          <w:rFonts w:ascii="Calibri" w:eastAsia="Calibri" w:hAnsi="Calibri"/>
          <w:bCs/>
          <w:color w:val="000000"/>
        </w:rPr>
      </w:pPr>
      <w:r>
        <w:rPr>
          <w:rFonts w:ascii="Calibri" w:eastAsia="Calibri" w:hAnsi="Calibri"/>
          <w:bCs/>
          <w:color w:val="000000"/>
        </w:rPr>
        <w:t>egészítse ki informatikai biztonsági szabályozásának hozzáféréskezelési rendjét az összeférhetetlen szerepkörök kezelésének szabályozásával;</w:t>
      </w:r>
    </w:p>
    <w:p w14:paraId="3D8FD951" w14:textId="77777777" w:rsidR="00866CB1" w:rsidRDefault="00866CB1" w:rsidP="00866CB1">
      <w:pPr>
        <w:pStyle w:val="Listaszerbekezds"/>
        <w:numPr>
          <w:ilvl w:val="0"/>
          <w:numId w:val="1"/>
        </w:numPr>
        <w:jc w:val="both"/>
        <w:rPr>
          <w:rFonts w:ascii="Calibri" w:eastAsia="Calibri" w:hAnsi="Calibri"/>
          <w:bCs/>
          <w:color w:val="000000"/>
        </w:rPr>
      </w:pPr>
      <w:r>
        <w:rPr>
          <w:rFonts w:ascii="Calibri" w:hAnsi="Calibri"/>
          <w:bCs/>
          <w:color w:val="000000" w:themeColor="text1"/>
        </w:rPr>
        <w:t xml:space="preserve">gondoskodjon az üzletmenet-folytonossági politikára vonatkozó jogszabályi rendelkezések maradéktalan teljesüléséről, ezen belül </w:t>
      </w:r>
      <w:r>
        <w:rPr>
          <w:rFonts w:ascii="Calibri" w:eastAsia="Calibri" w:hAnsi="Calibri"/>
          <w:bCs/>
          <w:color w:val="000000"/>
        </w:rPr>
        <w:t xml:space="preserve">készítse el a – külső informatikai szolgáltatók tevékenységével kapcsolatos és a szolgáltatás megszűnésére vonatkozó speciális szabályokat, az </w:t>
      </w:r>
      <w:r>
        <w:rPr>
          <w:rFonts w:ascii="Calibri" w:eastAsia="Calibri" w:hAnsi="Calibri"/>
        </w:rPr>
        <w:t>RTO</w:t>
      </w:r>
      <w:r>
        <w:rPr>
          <w:rStyle w:val="Lbjegyzet-hivatkozs"/>
          <w:rFonts w:ascii="Calibri" w:eastAsia="Calibri" w:hAnsi="Calibri"/>
        </w:rPr>
        <w:footnoteReference w:id="1"/>
      </w:r>
      <w:r>
        <w:rPr>
          <w:rFonts w:ascii="Calibri" w:eastAsia="Calibri" w:hAnsi="Calibri"/>
        </w:rPr>
        <w:t xml:space="preserve"> </w:t>
      </w:r>
      <w:r>
        <w:rPr>
          <w:rFonts w:ascii="Calibri" w:eastAsia="Calibri" w:hAnsi="Calibri"/>
          <w:bCs/>
          <w:color w:val="000000"/>
        </w:rPr>
        <w:t xml:space="preserve">és az </w:t>
      </w:r>
      <w:r>
        <w:rPr>
          <w:rFonts w:ascii="Calibri" w:eastAsia="Calibri" w:hAnsi="Calibri"/>
        </w:rPr>
        <w:t>RPO</w:t>
      </w:r>
      <w:r>
        <w:rPr>
          <w:rStyle w:val="Lbjegyzet-hivatkozs"/>
          <w:rFonts w:ascii="Calibri" w:eastAsia="Calibri" w:hAnsi="Calibri"/>
        </w:rPr>
        <w:footnoteReference w:id="2"/>
      </w:r>
      <w:r>
        <w:rPr>
          <w:rFonts w:ascii="Calibri" w:eastAsia="Calibri" w:hAnsi="Calibri"/>
        </w:rPr>
        <w:t xml:space="preserve"> </w:t>
      </w:r>
      <w:r>
        <w:rPr>
          <w:rFonts w:ascii="Calibri" w:eastAsia="Calibri" w:hAnsi="Calibri"/>
          <w:bCs/>
          <w:color w:val="000000"/>
        </w:rPr>
        <w:t xml:space="preserve">értékeket, illetőleg a kritikus folyamatokra vonatkozó egyedi </w:t>
      </w:r>
      <w:bookmarkStart w:id="2" w:name="_Hlk116912280"/>
      <w:r>
        <w:rPr>
          <w:rFonts w:ascii="Calibri" w:eastAsia="Calibri" w:hAnsi="Calibri"/>
        </w:rPr>
        <w:t>BCP</w:t>
      </w:r>
      <w:r>
        <w:rPr>
          <w:rStyle w:val="Lbjegyzet-hivatkozs"/>
          <w:rFonts w:ascii="Calibri" w:eastAsia="Calibri" w:hAnsi="Calibri"/>
          <w:bCs/>
          <w:color w:val="000000"/>
        </w:rPr>
        <w:footnoteReference w:id="3"/>
      </w:r>
      <w:r>
        <w:rPr>
          <w:rFonts w:ascii="Calibri" w:eastAsia="Calibri" w:hAnsi="Calibri"/>
          <w:bCs/>
          <w:color w:val="000000"/>
        </w:rPr>
        <w:t xml:space="preserve">és </w:t>
      </w:r>
      <w:r>
        <w:rPr>
          <w:rFonts w:asciiTheme="minorHAnsi" w:hAnsiTheme="minorHAnsi" w:cstheme="minorHAnsi"/>
        </w:rPr>
        <w:t>DRP</w:t>
      </w:r>
      <w:r>
        <w:rPr>
          <w:rStyle w:val="Lbjegyzet-hivatkozs"/>
          <w:rFonts w:asciiTheme="minorHAnsi" w:hAnsiTheme="minorHAnsi" w:cstheme="minorHAnsi"/>
        </w:rPr>
        <w:footnoteReference w:id="4"/>
      </w:r>
      <w:r>
        <w:rPr>
          <w:rFonts w:ascii="Calibri" w:eastAsia="Calibri" w:hAnsi="Calibri"/>
          <w:bCs/>
          <w:color w:val="000000"/>
        </w:rPr>
        <w:t xml:space="preserve"> terveket </w:t>
      </w:r>
      <w:bookmarkEnd w:id="2"/>
      <w:r>
        <w:rPr>
          <w:rFonts w:ascii="Calibri" w:eastAsia="Calibri" w:hAnsi="Calibri"/>
          <w:bCs/>
          <w:color w:val="000000"/>
        </w:rPr>
        <w:t xml:space="preserve">tartalmazó – részletes üzletmenetfolytonossági és katasztrófaelhárítási szabályzatát, egyúttal a </w:t>
      </w:r>
      <w:r>
        <w:rPr>
          <w:rFonts w:ascii="Calibri" w:eastAsia="Calibri" w:hAnsi="Calibri"/>
        </w:rPr>
        <w:t>BCP</w:t>
      </w:r>
      <w:r>
        <w:rPr>
          <w:rFonts w:ascii="Calibri" w:eastAsia="Calibri" w:hAnsi="Calibri"/>
          <w:bCs/>
          <w:color w:val="000000"/>
        </w:rPr>
        <w:t xml:space="preserve"> és </w:t>
      </w:r>
      <w:r>
        <w:rPr>
          <w:rFonts w:asciiTheme="minorHAnsi" w:hAnsiTheme="minorHAnsi" w:cstheme="minorHAnsi"/>
        </w:rPr>
        <w:t>DRP</w:t>
      </w:r>
      <w:r>
        <w:rPr>
          <w:rFonts w:ascii="Calibri" w:eastAsia="Calibri" w:hAnsi="Calibri"/>
          <w:bCs/>
          <w:color w:val="000000"/>
        </w:rPr>
        <w:t xml:space="preserve"> terveket a szabályzatban meghatározott időszakonként </w:t>
      </w:r>
      <w:proofErr w:type="spellStart"/>
      <w:r>
        <w:rPr>
          <w:rFonts w:ascii="Calibri" w:eastAsia="Calibri" w:hAnsi="Calibri"/>
          <w:bCs/>
          <w:color w:val="000000"/>
        </w:rPr>
        <w:t>teljeskörűen</w:t>
      </w:r>
      <w:proofErr w:type="spellEnd"/>
      <w:r>
        <w:rPr>
          <w:rFonts w:ascii="Calibri" w:eastAsia="Calibri" w:hAnsi="Calibri"/>
          <w:bCs/>
          <w:color w:val="000000"/>
        </w:rPr>
        <w:t xml:space="preserve"> tesztelje és dokumentálja;</w:t>
      </w:r>
    </w:p>
    <w:p w14:paraId="5290C779" w14:textId="77777777" w:rsidR="00866CB1" w:rsidRDefault="00866CB1" w:rsidP="00866CB1">
      <w:pPr>
        <w:pStyle w:val="Listaszerbekezds"/>
        <w:numPr>
          <w:ilvl w:val="0"/>
          <w:numId w:val="1"/>
        </w:numPr>
        <w:jc w:val="both"/>
        <w:rPr>
          <w:rFonts w:ascii="Calibri" w:eastAsia="Calibri" w:hAnsi="Calibri"/>
          <w:bCs/>
          <w:color w:val="000000"/>
        </w:rPr>
      </w:pPr>
      <w:r>
        <w:rPr>
          <w:rFonts w:ascii="Calibri" w:eastAsia="Calibri" w:hAnsi="Calibri"/>
          <w:bCs/>
          <w:color w:val="000000"/>
        </w:rPr>
        <w:t xml:space="preserve">intézkedjen informatikai rendszerei biztonsági naplóállományainak központi gyűjtéséről, valamint azok rendszeres és érdemi elemzéséről, továbbá alakítsa ki a vonatkozó </w:t>
      </w:r>
      <w:r>
        <w:rPr>
          <w:rFonts w:ascii="Calibri" w:eastAsia="Calibri" w:hAnsi="Calibri"/>
          <w:bCs/>
          <w:color w:val="000000"/>
        </w:rPr>
        <w:lastRenderedPageBreak/>
        <w:t>részletszabályokat a riasztások kezeléséhez, valamint arra vonatkozóan, hogy az informatikai szolgáltatója üzemeltetői rendszerének kommunikációja folyamatosan biztonságos csatornán történjen.</w:t>
      </w:r>
    </w:p>
    <w:p w14:paraId="17415F00" w14:textId="77777777" w:rsidR="00866CB1" w:rsidRDefault="00866CB1" w:rsidP="00866CB1">
      <w:pPr>
        <w:pStyle w:val="Listaszerbekezds"/>
        <w:ind w:left="720"/>
        <w:jc w:val="both"/>
        <w:rPr>
          <w:rFonts w:ascii="Calibri" w:eastAsia="Calibri" w:hAnsi="Calibri"/>
          <w:b/>
          <w:color w:val="000000"/>
        </w:rPr>
      </w:pPr>
    </w:p>
    <w:p w14:paraId="41E64802" w14:textId="77777777" w:rsidR="00866CB1" w:rsidRDefault="00866CB1" w:rsidP="00866CB1">
      <w:pPr>
        <w:jc w:val="both"/>
        <w:rPr>
          <w:rFonts w:ascii="Calibri" w:hAnsi="Calibri"/>
          <w:sz w:val="22"/>
          <w:szCs w:val="22"/>
        </w:rPr>
      </w:pPr>
      <w:bookmarkStart w:id="3" w:name="_Hlk113271050"/>
      <w:r>
        <w:rPr>
          <w:rFonts w:ascii="Calibri" w:hAnsi="Calibri"/>
          <w:b/>
          <w:sz w:val="22"/>
          <w:szCs w:val="22"/>
        </w:rPr>
        <w:t>III</w:t>
      </w:r>
      <w:bookmarkEnd w:id="3"/>
      <w:r>
        <w:rPr>
          <w:rFonts w:ascii="Calibri" w:hAnsi="Calibri"/>
          <w:b/>
          <w:sz w:val="22"/>
          <w:szCs w:val="22"/>
        </w:rPr>
        <w:t>. Az MNB figyelmezteti az Alapkezelőt, hogy tevékenysége végzése során folyamatosan</w:t>
      </w:r>
    </w:p>
    <w:p w14:paraId="3A6559BB" w14:textId="77777777" w:rsidR="00866CB1" w:rsidRDefault="00866CB1" w:rsidP="00866CB1">
      <w:pPr>
        <w:jc w:val="both"/>
        <w:rPr>
          <w:rFonts w:ascii="Calibri" w:hAnsi="Calibri"/>
          <w:sz w:val="22"/>
          <w:szCs w:val="22"/>
        </w:rPr>
      </w:pPr>
    </w:p>
    <w:p w14:paraId="5D302F14" w14:textId="77777777" w:rsidR="00866CB1" w:rsidRDefault="00866CB1" w:rsidP="00866CB1">
      <w:pPr>
        <w:pStyle w:val="Listaszerbekezds"/>
        <w:numPr>
          <w:ilvl w:val="0"/>
          <w:numId w:val="3"/>
        </w:numPr>
        <w:jc w:val="both"/>
        <w:rPr>
          <w:rFonts w:ascii="Calibri" w:eastAsia="Calibri" w:hAnsi="Calibri"/>
          <w:bCs/>
          <w:color w:val="000000"/>
        </w:rPr>
      </w:pPr>
      <w:bookmarkStart w:id="4" w:name="_Hlk105947906"/>
      <w:r>
        <w:rPr>
          <w:rFonts w:ascii="Calibri" w:eastAsia="Calibri" w:hAnsi="Calibri"/>
          <w:bCs/>
          <w:color w:val="000000"/>
        </w:rPr>
        <w:t>biztosítsa a kezelésében levő befektetési alapok eszközeinek a mindenkori kezelési szabályzatokkal összhangban történő befektetését;</w:t>
      </w:r>
    </w:p>
    <w:p w14:paraId="1C8AEB6F" w14:textId="77777777" w:rsidR="00866CB1" w:rsidRDefault="00866CB1" w:rsidP="00866CB1">
      <w:pPr>
        <w:pStyle w:val="Listaszerbekezds"/>
        <w:numPr>
          <w:ilvl w:val="0"/>
          <w:numId w:val="3"/>
        </w:numPr>
        <w:jc w:val="both"/>
        <w:rPr>
          <w:rFonts w:ascii="Calibri" w:eastAsia="Calibri" w:hAnsi="Calibri"/>
          <w:bCs/>
          <w:color w:val="000000"/>
        </w:rPr>
      </w:pPr>
      <w:r>
        <w:rPr>
          <w:rFonts w:ascii="Calibri" w:eastAsia="Calibri" w:hAnsi="Calibri"/>
          <w:bCs/>
          <w:color w:val="000000"/>
        </w:rPr>
        <w:t xml:space="preserve">gondoskodjon a befektetési döntéshozatalt megelőző tárgyalási szakaszra vonatkozó jogszabályi előírások maradéktalan és dokumentált formában történő érvényesüléséről; </w:t>
      </w:r>
    </w:p>
    <w:p w14:paraId="1876BAA6" w14:textId="77777777" w:rsidR="00866CB1" w:rsidRDefault="00866CB1" w:rsidP="00866CB1">
      <w:pPr>
        <w:pStyle w:val="Listaszerbekezds"/>
        <w:numPr>
          <w:ilvl w:val="0"/>
          <w:numId w:val="3"/>
        </w:numPr>
        <w:jc w:val="both"/>
        <w:rPr>
          <w:rFonts w:ascii="Calibri" w:eastAsia="Calibri" w:hAnsi="Calibri"/>
          <w:bCs/>
          <w:color w:val="000000"/>
        </w:rPr>
      </w:pPr>
      <w:r>
        <w:rPr>
          <w:rFonts w:ascii="Calibri" w:eastAsia="Calibri" w:hAnsi="Calibri"/>
          <w:bCs/>
          <w:color w:val="000000"/>
        </w:rPr>
        <w:t>a lebonyolított ügyletek kapcsán biztosítsa az ügyletek alapjául szolgáló, a vonatkozó jogszabály által megkövetelt információk – így különösen a befektetési alap számlájára eljáró személy nevének vagy más megjelölésének – utólagos visszakereshetőségét és ellenőrzését;</w:t>
      </w:r>
    </w:p>
    <w:p w14:paraId="1DE3240F" w14:textId="77777777" w:rsidR="00866CB1" w:rsidRDefault="00866CB1" w:rsidP="00866CB1">
      <w:pPr>
        <w:pStyle w:val="Listaszerbekezds"/>
        <w:numPr>
          <w:ilvl w:val="0"/>
          <w:numId w:val="3"/>
        </w:numPr>
        <w:jc w:val="both"/>
        <w:rPr>
          <w:rFonts w:ascii="Calibri" w:eastAsia="Calibri" w:hAnsi="Calibri"/>
          <w:bCs/>
          <w:color w:val="000000"/>
        </w:rPr>
      </w:pPr>
      <w:r>
        <w:rPr>
          <w:rFonts w:ascii="Calibri" w:eastAsia="Calibri" w:hAnsi="Calibri"/>
          <w:bCs/>
          <w:color w:val="000000"/>
        </w:rPr>
        <w:t>a vonatkozó jogszabályi rendelkezéseknek – és saját szabályzatában foglaltaknak – megfelelően biztosítsa az elektronikus portfólió-nyilvántartási rendszerében az egyedi eszközökre vonatkozó befektetési döntések meghozatalának és végrehajtásának elkülönítését az egyes ügyletek elszámolásától és adminisztrálásától;</w:t>
      </w:r>
    </w:p>
    <w:p w14:paraId="2DEB1E4E" w14:textId="77777777" w:rsidR="00866CB1" w:rsidRDefault="00866CB1" w:rsidP="00866CB1">
      <w:pPr>
        <w:pStyle w:val="Listaszerbekezds"/>
        <w:numPr>
          <w:ilvl w:val="0"/>
          <w:numId w:val="3"/>
        </w:numPr>
        <w:jc w:val="both"/>
        <w:rPr>
          <w:rFonts w:ascii="Calibri" w:eastAsia="Calibri" w:hAnsi="Calibri"/>
          <w:bCs/>
          <w:color w:val="000000"/>
        </w:rPr>
      </w:pPr>
      <w:r>
        <w:rPr>
          <w:rFonts w:ascii="Calibri" w:eastAsia="Calibri" w:hAnsi="Calibri"/>
          <w:bCs/>
          <w:color w:val="000000"/>
        </w:rPr>
        <w:t>működtessen megfelelő kockázatkezelési rendszereket befektetési alapjai befektetési stratégiája szempontjából releváns, valamint az egyes alapokkal kapcsolatban ténylegesen vagy potenciálisan fennálló minden kockázat azonosítása, mérése és megfelelő nyomon követése érdekében;</w:t>
      </w:r>
    </w:p>
    <w:p w14:paraId="2FF65B6C" w14:textId="77777777" w:rsidR="00866CB1" w:rsidRDefault="00866CB1" w:rsidP="00866CB1">
      <w:pPr>
        <w:pStyle w:val="Listaszerbekezds"/>
        <w:numPr>
          <w:ilvl w:val="0"/>
          <w:numId w:val="3"/>
        </w:numPr>
        <w:jc w:val="both"/>
        <w:rPr>
          <w:rFonts w:ascii="Calibri" w:eastAsia="Calibri" w:hAnsi="Calibri"/>
          <w:bCs/>
          <w:color w:val="000000"/>
        </w:rPr>
      </w:pPr>
      <w:r>
        <w:rPr>
          <w:rFonts w:ascii="Calibri" w:eastAsia="Calibri" w:hAnsi="Calibri"/>
          <w:bCs/>
          <w:color w:val="000000"/>
        </w:rPr>
        <w:t>a kezelésében lévő befektetési alapok kapcsán biztosítsa, hogy a tőkeáttétel a nettó eszközérték meghatározásával egyező gyakorisággal kerüljön kiszámításra;</w:t>
      </w:r>
    </w:p>
    <w:p w14:paraId="191E03D8" w14:textId="77777777" w:rsidR="00866CB1" w:rsidRDefault="00866CB1" w:rsidP="00866CB1">
      <w:pPr>
        <w:pStyle w:val="Listaszerbekezds"/>
        <w:numPr>
          <w:ilvl w:val="0"/>
          <w:numId w:val="3"/>
        </w:numPr>
        <w:jc w:val="both"/>
        <w:rPr>
          <w:rFonts w:ascii="Calibri" w:eastAsia="Calibri" w:hAnsi="Calibri"/>
          <w:bCs/>
          <w:color w:val="000000"/>
        </w:rPr>
      </w:pPr>
      <w:r>
        <w:rPr>
          <w:rFonts w:ascii="Calibri" w:eastAsia="Calibri" w:hAnsi="Calibri"/>
          <w:bCs/>
          <w:color w:val="000000"/>
        </w:rPr>
        <w:t>gondoskodjon az MNB részére fizetendő felügyeleti díj jelentésére vonatkozó jogszabályi előírások maradéktalan teljesüléséről.</w:t>
      </w:r>
    </w:p>
    <w:bookmarkEnd w:id="4"/>
    <w:p w14:paraId="2F86457E" w14:textId="77777777" w:rsidR="00866CB1" w:rsidRDefault="00866CB1" w:rsidP="00866CB1">
      <w:pPr>
        <w:tabs>
          <w:tab w:val="left" w:pos="284"/>
        </w:tabs>
        <w:jc w:val="both"/>
        <w:rPr>
          <w:rFonts w:ascii="Calibri" w:hAnsi="Calibri"/>
          <w:b/>
          <w:sz w:val="22"/>
          <w:szCs w:val="22"/>
        </w:rPr>
      </w:pPr>
    </w:p>
    <w:p w14:paraId="4D24CC50" w14:textId="77777777" w:rsidR="00866CB1" w:rsidRDefault="00866CB1" w:rsidP="00866CB1">
      <w:pPr>
        <w:tabs>
          <w:tab w:val="left" w:pos="284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IV. Az MNB rendkívüli adatszolgáltatás keretében kötelezi az Alapkezelőt</w:t>
      </w:r>
      <w:r>
        <w:rPr>
          <w:rFonts w:ascii="Calibri" w:hAnsi="Calibri"/>
          <w:sz w:val="22"/>
          <w:szCs w:val="22"/>
        </w:rPr>
        <w:t xml:space="preserve">, hogy az I-III. pontokban foglaltak teljesítésének ellenőrzéséről készített – az igazgatóság által megtárgyalt és a felügyelőbizottság által jóváhagyott – belső ellenőri jelentéseket és az azok alapjául szolgáló, illetve a jelen határozat rendelkező részének I-III. pontjaiban foglalt intézkedések teljesítését alátámasztó dokumentumokat </w:t>
      </w:r>
    </w:p>
    <w:p w14:paraId="17BEF53A" w14:textId="77777777" w:rsidR="00866CB1" w:rsidRDefault="00866CB1" w:rsidP="00866CB1">
      <w:pPr>
        <w:pStyle w:val="Listaszerbekezds"/>
        <w:numPr>
          <w:ilvl w:val="0"/>
          <w:numId w:val="4"/>
        </w:numPr>
        <w:jc w:val="both"/>
        <w:rPr>
          <w:rFonts w:ascii="Calibri" w:eastAsia="Calibri" w:hAnsi="Calibri"/>
          <w:bCs/>
          <w:color w:val="000000"/>
        </w:rPr>
      </w:pPr>
      <w:r>
        <w:rPr>
          <w:rFonts w:ascii="Calibri" w:eastAsia="Calibri" w:hAnsi="Calibri"/>
          <w:bCs/>
          <w:color w:val="000000"/>
        </w:rPr>
        <w:t>az I-II. pontokban foglalt intézkedések tekintetében az ott rögzített teljesítési határidő leteltét követő 30 napon belül;</w:t>
      </w:r>
    </w:p>
    <w:p w14:paraId="13D27595" w14:textId="77777777" w:rsidR="00866CB1" w:rsidRDefault="00866CB1" w:rsidP="00866CB1">
      <w:pPr>
        <w:pStyle w:val="Listaszerbekezds"/>
        <w:numPr>
          <w:ilvl w:val="0"/>
          <w:numId w:val="4"/>
        </w:numPr>
        <w:jc w:val="both"/>
        <w:rPr>
          <w:rFonts w:ascii="Calibri" w:eastAsia="Calibri" w:hAnsi="Calibri"/>
          <w:bCs/>
          <w:color w:val="000000"/>
        </w:rPr>
      </w:pPr>
      <w:r>
        <w:rPr>
          <w:rFonts w:ascii="Calibri" w:eastAsia="Calibri" w:hAnsi="Calibri"/>
          <w:bCs/>
          <w:color w:val="000000"/>
        </w:rPr>
        <w:t>a III. pontban foglalt intézkedések tekintetében a jelen határozat kézhezvételét követő 120 napon belül</w:t>
      </w:r>
    </w:p>
    <w:p w14:paraId="0BF5A1DC" w14:textId="77777777" w:rsidR="00866CB1" w:rsidRDefault="00866CB1" w:rsidP="00866CB1">
      <w:pPr>
        <w:tabs>
          <w:tab w:val="left" w:pos="284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küldje meg az MNB részére.</w:t>
      </w:r>
    </w:p>
    <w:p w14:paraId="694F2865" w14:textId="77777777" w:rsidR="00866CB1" w:rsidRDefault="00866CB1" w:rsidP="00866CB1">
      <w:pPr>
        <w:tabs>
          <w:tab w:val="left" w:pos="284"/>
        </w:tabs>
        <w:jc w:val="both"/>
        <w:rPr>
          <w:rFonts w:ascii="Calibri" w:hAnsi="Calibri"/>
          <w:sz w:val="22"/>
          <w:szCs w:val="22"/>
        </w:rPr>
      </w:pPr>
    </w:p>
    <w:p w14:paraId="1CCDA2BB" w14:textId="77777777" w:rsidR="00866CB1" w:rsidRDefault="00866CB1" w:rsidP="00866CB1">
      <w:pPr>
        <w:ind w:left="1080" w:hanging="108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V. Az MNB az Alapkezelőt a jelen határozat indokolásának </w:t>
      </w:r>
    </w:p>
    <w:p w14:paraId="17E892F6" w14:textId="77777777" w:rsidR="00866CB1" w:rsidRDefault="00866CB1" w:rsidP="00866CB1">
      <w:pPr>
        <w:pStyle w:val="Listaszerbekezds"/>
        <w:rPr>
          <w:rFonts w:ascii="Calibri" w:hAnsi="Calibri"/>
          <w:b/>
        </w:rPr>
      </w:pPr>
    </w:p>
    <w:p w14:paraId="505AB597" w14:textId="77777777" w:rsidR="00866CB1" w:rsidRDefault="00866CB1" w:rsidP="00866CB1">
      <w:pPr>
        <w:numPr>
          <w:ilvl w:val="0"/>
          <w:numId w:val="5"/>
        </w:num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I. pontjában </w:t>
      </w:r>
      <w:r>
        <w:rPr>
          <w:rFonts w:ascii="Calibri" w:hAnsi="Calibri"/>
          <w:bCs/>
          <w:color w:val="000000"/>
          <w:sz w:val="22"/>
          <w:szCs w:val="22"/>
        </w:rPr>
        <w:t>hivatkozott jogszabálysértés miatt 350.000 Ft, azaz háromszázötvenezer forint,</w:t>
      </w:r>
    </w:p>
    <w:p w14:paraId="42F553F9" w14:textId="77777777" w:rsidR="00866CB1" w:rsidRDefault="00866CB1" w:rsidP="00866CB1">
      <w:pPr>
        <w:numPr>
          <w:ilvl w:val="0"/>
          <w:numId w:val="5"/>
        </w:num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 xml:space="preserve">II.1. </w:t>
      </w:r>
      <w:r>
        <w:rPr>
          <w:rFonts w:ascii="Calibri" w:hAnsi="Calibri"/>
          <w:sz w:val="22"/>
          <w:szCs w:val="22"/>
        </w:rPr>
        <w:t xml:space="preserve">pontjában </w:t>
      </w:r>
      <w:r>
        <w:rPr>
          <w:rFonts w:ascii="Calibri" w:hAnsi="Calibri"/>
          <w:bCs/>
          <w:color w:val="000000"/>
          <w:sz w:val="22"/>
          <w:szCs w:val="22"/>
        </w:rPr>
        <w:t>hivatkozott jogszabálysértés miatt 300.000 Ft, azaz háromszázezer forint,</w:t>
      </w:r>
    </w:p>
    <w:p w14:paraId="58A3436F" w14:textId="77777777" w:rsidR="00866CB1" w:rsidRDefault="00866CB1" w:rsidP="00866CB1">
      <w:pPr>
        <w:numPr>
          <w:ilvl w:val="0"/>
          <w:numId w:val="5"/>
        </w:num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 xml:space="preserve">II.2. </w:t>
      </w:r>
      <w:r>
        <w:rPr>
          <w:rFonts w:ascii="Calibri" w:hAnsi="Calibri"/>
          <w:sz w:val="22"/>
          <w:szCs w:val="22"/>
        </w:rPr>
        <w:t xml:space="preserve">pontjában </w:t>
      </w:r>
      <w:r>
        <w:rPr>
          <w:rFonts w:ascii="Calibri" w:hAnsi="Calibri"/>
          <w:bCs/>
          <w:color w:val="000000"/>
          <w:sz w:val="22"/>
          <w:szCs w:val="22"/>
        </w:rPr>
        <w:t xml:space="preserve">hivatkozott jogszabálysértés miatt </w:t>
      </w:r>
      <w:bookmarkStart w:id="5" w:name="_Hlk114557616"/>
      <w:r>
        <w:rPr>
          <w:rFonts w:ascii="Calibri" w:hAnsi="Calibri"/>
          <w:bCs/>
          <w:color w:val="000000"/>
          <w:sz w:val="22"/>
          <w:szCs w:val="22"/>
        </w:rPr>
        <w:t>500.000 Ft, azaz ötszázezer forint,</w:t>
      </w:r>
    </w:p>
    <w:bookmarkEnd w:id="5"/>
    <w:p w14:paraId="0A5EDA36" w14:textId="77777777" w:rsidR="00866CB1" w:rsidRDefault="00866CB1" w:rsidP="00866CB1">
      <w:pPr>
        <w:numPr>
          <w:ilvl w:val="0"/>
          <w:numId w:val="5"/>
        </w:num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>II.</w:t>
      </w:r>
      <w:r>
        <w:rPr>
          <w:rFonts w:ascii="Calibri" w:hAnsi="Calibri"/>
          <w:bCs/>
          <w:sz w:val="22"/>
          <w:szCs w:val="22"/>
        </w:rPr>
        <w:t>3</w:t>
      </w:r>
      <w:r>
        <w:rPr>
          <w:rFonts w:ascii="Calibri" w:hAnsi="Calibri"/>
          <w:bCs/>
          <w:color w:val="000000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 xml:space="preserve">pontjában </w:t>
      </w:r>
      <w:r>
        <w:rPr>
          <w:rFonts w:ascii="Calibri" w:hAnsi="Calibri"/>
          <w:bCs/>
          <w:color w:val="000000"/>
          <w:sz w:val="22"/>
          <w:szCs w:val="22"/>
        </w:rPr>
        <w:t>hivatkozott jogszabálysértés miatt 500.000 Ft, azaz ötszázezer forint,</w:t>
      </w:r>
    </w:p>
    <w:p w14:paraId="73E5F7C5" w14:textId="77777777" w:rsidR="00866CB1" w:rsidRDefault="00866CB1" w:rsidP="00866CB1">
      <w:pPr>
        <w:numPr>
          <w:ilvl w:val="0"/>
          <w:numId w:val="5"/>
        </w:num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II.4. </w:t>
      </w:r>
      <w:r>
        <w:rPr>
          <w:rFonts w:ascii="Calibri" w:hAnsi="Calibri"/>
          <w:sz w:val="22"/>
          <w:szCs w:val="22"/>
        </w:rPr>
        <w:t xml:space="preserve">pontjában </w:t>
      </w:r>
      <w:r>
        <w:rPr>
          <w:rFonts w:ascii="Calibri" w:hAnsi="Calibri"/>
          <w:bCs/>
          <w:color w:val="000000"/>
          <w:sz w:val="22"/>
          <w:szCs w:val="22"/>
        </w:rPr>
        <w:t>hivatkozott jogszabálysértés miatt 500.000 Ft, azaz ötszázezer forint,</w:t>
      </w:r>
    </w:p>
    <w:p w14:paraId="585F3C92" w14:textId="77777777" w:rsidR="00866CB1" w:rsidRDefault="00866CB1" w:rsidP="00866CB1">
      <w:pPr>
        <w:numPr>
          <w:ilvl w:val="0"/>
          <w:numId w:val="5"/>
        </w:num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II.5. </w:t>
      </w:r>
      <w:bookmarkStart w:id="6" w:name="_Hlk114558146"/>
      <w:r>
        <w:rPr>
          <w:rFonts w:ascii="Calibri" w:hAnsi="Calibri"/>
          <w:sz w:val="22"/>
          <w:szCs w:val="22"/>
        </w:rPr>
        <w:t xml:space="preserve">pontjában </w:t>
      </w:r>
      <w:r>
        <w:rPr>
          <w:rFonts w:ascii="Calibri" w:hAnsi="Calibri"/>
          <w:bCs/>
          <w:color w:val="000000"/>
          <w:sz w:val="22"/>
          <w:szCs w:val="22"/>
        </w:rPr>
        <w:t>hivatkozott jogszabálysértés miatt 300.000 Ft, azaz háromszázezer forint,</w:t>
      </w:r>
      <w:bookmarkEnd w:id="6"/>
    </w:p>
    <w:p w14:paraId="58A39E8E" w14:textId="77777777" w:rsidR="00866CB1" w:rsidRDefault="00866CB1" w:rsidP="00866CB1">
      <w:pPr>
        <w:numPr>
          <w:ilvl w:val="0"/>
          <w:numId w:val="5"/>
        </w:num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III.2. </w:t>
      </w:r>
      <w:r>
        <w:rPr>
          <w:rFonts w:ascii="Calibri" w:hAnsi="Calibri"/>
          <w:sz w:val="22"/>
          <w:szCs w:val="22"/>
        </w:rPr>
        <w:t xml:space="preserve">pontjában </w:t>
      </w:r>
      <w:r>
        <w:rPr>
          <w:rFonts w:ascii="Calibri" w:hAnsi="Calibri"/>
          <w:bCs/>
          <w:color w:val="000000"/>
          <w:sz w:val="22"/>
          <w:szCs w:val="22"/>
        </w:rPr>
        <w:t>hivatkozott jogszabálysértés miatt 750.000 Ft, azaz hétszázötvenezer forint,</w:t>
      </w:r>
    </w:p>
    <w:p w14:paraId="18068E8C" w14:textId="77777777" w:rsidR="00866CB1" w:rsidRDefault="00866CB1" w:rsidP="00866CB1">
      <w:pPr>
        <w:numPr>
          <w:ilvl w:val="0"/>
          <w:numId w:val="5"/>
        </w:num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>III.</w:t>
      </w:r>
      <w:r>
        <w:rPr>
          <w:rFonts w:ascii="Calibri" w:hAnsi="Calibri"/>
          <w:bCs/>
          <w:sz w:val="22"/>
          <w:szCs w:val="22"/>
        </w:rPr>
        <w:t>3</w:t>
      </w:r>
      <w:r>
        <w:rPr>
          <w:rFonts w:ascii="Calibri" w:hAnsi="Calibri"/>
          <w:bCs/>
          <w:color w:val="000000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 xml:space="preserve">pontjában </w:t>
      </w:r>
      <w:r>
        <w:rPr>
          <w:rFonts w:ascii="Calibri" w:hAnsi="Calibri"/>
          <w:bCs/>
          <w:color w:val="000000"/>
          <w:sz w:val="22"/>
          <w:szCs w:val="22"/>
        </w:rPr>
        <w:t>hivatkozott jogszabálysértés miatt 500.000 Ft, azaz ötszázezer forint,</w:t>
      </w:r>
    </w:p>
    <w:p w14:paraId="4E9745FC" w14:textId="77777777" w:rsidR="00866CB1" w:rsidRDefault="00866CB1" w:rsidP="00866CB1">
      <w:pPr>
        <w:numPr>
          <w:ilvl w:val="0"/>
          <w:numId w:val="5"/>
        </w:num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III.4. pontjában </w:t>
      </w:r>
      <w:r>
        <w:rPr>
          <w:rFonts w:ascii="Calibri" w:hAnsi="Calibri"/>
          <w:bCs/>
          <w:color w:val="000000"/>
          <w:sz w:val="22"/>
          <w:szCs w:val="22"/>
        </w:rPr>
        <w:t>hivatkozott jogszabálysértés miatt 150.000 Ft, azaz egyszázötvenezer forint,</w:t>
      </w:r>
    </w:p>
    <w:p w14:paraId="1C64A612" w14:textId="77777777" w:rsidR="00866CB1" w:rsidRDefault="00866CB1" w:rsidP="00866CB1">
      <w:pPr>
        <w:numPr>
          <w:ilvl w:val="0"/>
          <w:numId w:val="5"/>
        </w:num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III.5. </w:t>
      </w:r>
      <w:r>
        <w:rPr>
          <w:rFonts w:ascii="Calibri" w:hAnsi="Calibri"/>
          <w:sz w:val="22"/>
          <w:szCs w:val="22"/>
        </w:rPr>
        <w:t xml:space="preserve">pontjában </w:t>
      </w:r>
      <w:r>
        <w:rPr>
          <w:rFonts w:ascii="Calibri" w:hAnsi="Calibri"/>
          <w:bCs/>
          <w:color w:val="000000"/>
          <w:sz w:val="22"/>
          <w:szCs w:val="22"/>
        </w:rPr>
        <w:t>hivatkozott jogszabálysértés miatt 500.000 Ft, azaz ötszázezer forint,</w:t>
      </w:r>
    </w:p>
    <w:p w14:paraId="5C43CBFE" w14:textId="77777777" w:rsidR="00866CB1" w:rsidRDefault="00866CB1" w:rsidP="00866CB1">
      <w:pPr>
        <w:numPr>
          <w:ilvl w:val="0"/>
          <w:numId w:val="5"/>
        </w:num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III.6. pontjában </w:t>
      </w:r>
      <w:r>
        <w:rPr>
          <w:rFonts w:ascii="Calibri" w:hAnsi="Calibri"/>
          <w:bCs/>
          <w:color w:val="000000"/>
          <w:sz w:val="22"/>
          <w:szCs w:val="22"/>
        </w:rPr>
        <w:t>hivatkozott jogszabálysértés miatt 250.000 Ft, azaz kettőszázötvenezer forint,</w:t>
      </w:r>
    </w:p>
    <w:p w14:paraId="2FF5A5BE" w14:textId="77777777" w:rsidR="00866CB1" w:rsidRDefault="00866CB1" w:rsidP="00866CB1">
      <w:pPr>
        <w:numPr>
          <w:ilvl w:val="0"/>
          <w:numId w:val="5"/>
        </w:numPr>
        <w:jc w:val="both"/>
        <w:rPr>
          <w:rFonts w:ascii="Calibri" w:hAnsi="Calibri"/>
          <w:b/>
          <w:sz w:val="22"/>
          <w:szCs w:val="22"/>
        </w:rPr>
      </w:pPr>
      <w:bookmarkStart w:id="7" w:name="_Hlk114558636"/>
      <w:r>
        <w:rPr>
          <w:rFonts w:ascii="Calibri" w:hAnsi="Calibri"/>
          <w:bCs/>
          <w:sz w:val="22"/>
          <w:szCs w:val="22"/>
        </w:rPr>
        <w:t xml:space="preserve">III.7. pontjában </w:t>
      </w:r>
      <w:r>
        <w:rPr>
          <w:rFonts w:ascii="Calibri" w:hAnsi="Calibri"/>
          <w:bCs/>
          <w:color w:val="000000"/>
          <w:sz w:val="22"/>
          <w:szCs w:val="22"/>
        </w:rPr>
        <w:t>hivatkozott jogszabálysértés miatt 100.000 Ft, azaz egyszázezer forint,</w:t>
      </w:r>
      <w:bookmarkEnd w:id="7"/>
    </w:p>
    <w:p w14:paraId="7DE43506" w14:textId="77777777" w:rsidR="00866CB1" w:rsidRDefault="00866CB1" w:rsidP="00866CB1">
      <w:pPr>
        <w:tabs>
          <w:tab w:val="left" w:pos="284"/>
        </w:tabs>
        <w:jc w:val="both"/>
        <w:rPr>
          <w:rFonts w:ascii="Calibri" w:hAnsi="Calibri"/>
          <w:sz w:val="22"/>
          <w:szCs w:val="22"/>
          <w:highlight w:val="yellow"/>
        </w:rPr>
      </w:pPr>
    </w:p>
    <w:p w14:paraId="36D32090" w14:textId="77777777" w:rsidR="00866CB1" w:rsidRDefault="00866CB1" w:rsidP="00866CB1">
      <w:pPr>
        <w:tabs>
          <w:tab w:val="left" w:pos="284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mindösszesen </w:t>
      </w:r>
      <w:r>
        <w:rPr>
          <w:rFonts w:ascii="Calibri" w:hAnsi="Calibri"/>
          <w:b/>
          <w:sz w:val="22"/>
          <w:szCs w:val="22"/>
        </w:rPr>
        <w:t>4.700.000 Ft, azaz négymillió-hétszázezer forint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b/>
          <w:bCs/>
          <w:sz w:val="22"/>
          <w:szCs w:val="22"/>
        </w:rPr>
        <w:t>összegű felügyeleti bírság megfizetésére kötelezi</w:t>
      </w:r>
      <w:r>
        <w:rPr>
          <w:rFonts w:ascii="Calibri" w:hAnsi="Calibri"/>
          <w:bCs/>
          <w:sz w:val="22"/>
          <w:szCs w:val="22"/>
        </w:rPr>
        <w:t>.</w:t>
      </w:r>
    </w:p>
    <w:p w14:paraId="5C95180A" w14:textId="77777777" w:rsidR="00866CB1" w:rsidRDefault="00866CB1" w:rsidP="00866CB1">
      <w:pPr>
        <w:jc w:val="both"/>
        <w:rPr>
          <w:rFonts w:ascii="Calibri" w:hAnsi="Calibri"/>
          <w:b/>
          <w:sz w:val="22"/>
          <w:szCs w:val="22"/>
        </w:rPr>
      </w:pPr>
    </w:p>
    <w:p w14:paraId="5EC82EC4" w14:textId="77777777" w:rsidR="00866CB1" w:rsidRDefault="00866CB1" w:rsidP="00866CB1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Az Alapkezelő köteles a jelen határozat rendelkező részét a közléstől számított 15 napon belül a honlapján közzétenni.</w:t>
      </w:r>
    </w:p>
    <w:p w14:paraId="40B70E10" w14:textId="77777777" w:rsidR="00866CB1" w:rsidRDefault="00866CB1" w:rsidP="00866CB1">
      <w:pPr>
        <w:jc w:val="both"/>
        <w:rPr>
          <w:rFonts w:ascii="Calibri" w:hAnsi="Calibri"/>
          <w:sz w:val="22"/>
          <w:szCs w:val="22"/>
        </w:rPr>
      </w:pPr>
    </w:p>
    <w:p w14:paraId="49A35520" w14:textId="77777777" w:rsidR="00866CB1" w:rsidRDefault="00866CB1" w:rsidP="00866CB1">
      <w:pPr>
        <w:suppressAutoHyphens/>
        <w:jc w:val="both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 xml:space="preserve">Az MNB felhívja az Alapkezelő figyelmét, hogy amennyiben jelen határozati kötelezéseknek nem, vagy nem </w:t>
      </w:r>
      <w:proofErr w:type="spellStart"/>
      <w:r>
        <w:rPr>
          <w:rFonts w:ascii="Calibri" w:hAnsi="Calibri"/>
          <w:snapToGrid w:val="0"/>
          <w:sz w:val="22"/>
          <w:szCs w:val="22"/>
        </w:rPr>
        <w:t>teljeskörűen</w:t>
      </w:r>
      <w:proofErr w:type="spellEnd"/>
      <w:r>
        <w:rPr>
          <w:rFonts w:ascii="Calibri" w:hAnsi="Calibri"/>
          <w:snapToGrid w:val="0"/>
          <w:sz w:val="22"/>
          <w:szCs w:val="22"/>
        </w:rPr>
        <w:t>, illetve késedelmesen tesz eleget, az MNB-nek jogszabályban biztosított további intézkedések alkalmazására van lehetősége, ideértve a további bírság kiszabását is.</w:t>
      </w:r>
    </w:p>
    <w:p w14:paraId="1A059A3F" w14:textId="77777777" w:rsidR="00866CB1" w:rsidRDefault="00866CB1" w:rsidP="00866CB1">
      <w:pPr>
        <w:jc w:val="both"/>
        <w:rPr>
          <w:rFonts w:ascii="Calibri" w:eastAsia="Calibri" w:hAnsi="Calibri"/>
          <w:sz w:val="22"/>
          <w:szCs w:val="22"/>
        </w:rPr>
      </w:pPr>
    </w:p>
    <w:p w14:paraId="63FB32C2" w14:textId="77777777" w:rsidR="00866CB1" w:rsidRDefault="00866CB1" w:rsidP="00866CB1">
      <w:p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Az ellenőrzési eljárás során eljárási költség nem merült fel.</w:t>
      </w:r>
    </w:p>
    <w:p w14:paraId="2482C669" w14:textId="70197340" w:rsidR="00A34B0A" w:rsidRDefault="00A34B0A"/>
    <w:p w14:paraId="70E80ACE" w14:textId="77777777" w:rsidR="00866CB1" w:rsidRDefault="00866CB1" w:rsidP="00866CB1">
      <w:pPr>
        <w:suppressAutoHyphens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Budapest, 2022. november 30.</w:t>
      </w:r>
    </w:p>
    <w:p w14:paraId="10F37A73" w14:textId="77777777" w:rsidR="00866CB1" w:rsidRDefault="00866CB1" w:rsidP="00866CB1">
      <w:pPr>
        <w:suppressAutoHyphens/>
        <w:rPr>
          <w:rFonts w:ascii="Calibri" w:hAnsi="Calibri"/>
          <w:sz w:val="22"/>
          <w:szCs w:val="22"/>
        </w:rPr>
      </w:pPr>
    </w:p>
    <w:p w14:paraId="67AD39C2" w14:textId="77777777" w:rsidR="00866CB1" w:rsidRDefault="00866CB1" w:rsidP="00866CB1">
      <w:pPr>
        <w:ind w:left="3261"/>
        <w:jc w:val="center"/>
      </w:pPr>
      <w:r>
        <w:rPr>
          <w:rFonts w:ascii="Calibri" w:hAnsi="Calibri" w:cs="Calibri"/>
          <w:b/>
          <w:sz w:val="22"/>
          <w:szCs w:val="22"/>
        </w:rPr>
        <w:tab/>
        <w:t>A Magyar Nemzeti Bank nevében eljáró</w:t>
      </w:r>
    </w:p>
    <w:p w14:paraId="7B8DB937" w14:textId="77777777" w:rsidR="00866CB1" w:rsidRDefault="00866CB1" w:rsidP="00866CB1">
      <w:pPr>
        <w:tabs>
          <w:tab w:val="left" w:pos="5103"/>
        </w:tabs>
        <w:rPr>
          <w:rFonts w:ascii="Calibri" w:hAnsi="Calibri" w:cs="Calibri"/>
          <w:b/>
          <w:bCs/>
          <w:sz w:val="22"/>
          <w:szCs w:val="22"/>
        </w:rPr>
      </w:pPr>
    </w:p>
    <w:p w14:paraId="070768D9" w14:textId="77777777" w:rsidR="00866CB1" w:rsidRDefault="00866CB1" w:rsidP="00866CB1">
      <w:pPr>
        <w:tabs>
          <w:tab w:val="center" w:pos="6237"/>
        </w:tabs>
        <w:ind w:left="3544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dr. Laki Gábor s.k.,</w:t>
      </w:r>
    </w:p>
    <w:p w14:paraId="424DF5AB" w14:textId="77777777" w:rsidR="00866CB1" w:rsidRDefault="00866CB1" w:rsidP="00866CB1">
      <w:pPr>
        <w:tabs>
          <w:tab w:val="center" w:pos="6379"/>
        </w:tabs>
        <w:ind w:left="3544"/>
        <w:jc w:val="center"/>
        <w:rPr>
          <w:rFonts w:ascii="Calibri" w:eastAsia="Trebuchet MS" w:hAnsi="Calibri" w:cs="Arial"/>
          <w:b/>
          <w:bCs/>
          <w:sz w:val="22"/>
          <w:szCs w:val="22"/>
        </w:rPr>
      </w:pPr>
      <w:r>
        <w:rPr>
          <w:rFonts w:ascii="Calibri" w:eastAsia="Trebuchet MS" w:hAnsi="Calibri" w:cs="Arial"/>
          <w:b/>
          <w:bCs/>
          <w:sz w:val="22"/>
          <w:szCs w:val="22"/>
        </w:rPr>
        <w:t>Tőkepiaci és piacfelügyeleti igazgatóság,</w:t>
      </w:r>
    </w:p>
    <w:p w14:paraId="43D67ABC" w14:textId="77777777" w:rsidR="00866CB1" w:rsidRDefault="00866CB1" w:rsidP="00866CB1">
      <w:pPr>
        <w:tabs>
          <w:tab w:val="center" w:pos="6237"/>
        </w:tabs>
        <w:ind w:left="3544"/>
        <w:jc w:val="center"/>
        <w:rPr>
          <w:rFonts w:ascii="Calibri" w:eastAsia="Trebuchet MS" w:hAnsi="Calibri" w:cs="Arial"/>
          <w:b/>
          <w:bCs/>
          <w:sz w:val="22"/>
          <w:szCs w:val="22"/>
        </w:rPr>
      </w:pPr>
      <w:r>
        <w:rPr>
          <w:rFonts w:ascii="Calibri" w:eastAsia="Trebuchet MS" w:hAnsi="Calibri" w:cs="Arial"/>
          <w:b/>
          <w:bCs/>
          <w:sz w:val="22"/>
          <w:szCs w:val="22"/>
        </w:rPr>
        <w:t xml:space="preserve">igazgató </w:t>
      </w:r>
    </w:p>
    <w:p w14:paraId="162F616E" w14:textId="77777777" w:rsidR="00866CB1" w:rsidRDefault="00866CB1" w:rsidP="00866CB1">
      <w:pPr>
        <w:tabs>
          <w:tab w:val="center" w:pos="6237"/>
        </w:tabs>
        <w:ind w:left="3544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ELEKTRONIKUSAN ALÁÍRT IRAT</w:t>
      </w:r>
    </w:p>
    <w:p w14:paraId="1B67443B" w14:textId="77777777" w:rsidR="00866CB1" w:rsidRDefault="00866CB1"/>
    <w:sectPr w:rsidR="00866C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22DBD" w14:textId="77777777" w:rsidR="00866CB1" w:rsidRDefault="00866CB1" w:rsidP="00866CB1">
      <w:r>
        <w:separator/>
      </w:r>
    </w:p>
  </w:endnote>
  <w:endnote w:type="continuationSeparator" w:id="0">
    <w:p w14:paraId="0EB6F16B" w14:textId="77777777" w:rsidR="00866CB1" w:rsidRDefault="00866CB1" w:rsidP="00866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E416C" w14:textId="77777777" w:rsidR="00866CB1" w:rsidRDefault="00866CB1" w:rsidP="00866CB1">
      <w:r>
        <w:separator/>
      </w:r>
    </w:p>
  </w:footnote>
  <w:footnote w:type="continuationSeparator" w:id="0">
    <w:p w14:paraId="227A4D25" w14:textId="77777777" w:rsidR="00866CB1" w:rsidRDefault="00866CB1" w:rsidP="00866CB1">
      <w:r>
        <w:continuationSeparator/>
      </w:r>
    </w:p>
  </w:footnote>
  <w:footnote w:id="1">
    <w:p w14:paraId="36D72E72" w14:textId="77777777" w:rsidR="00866CB1" w:rsidRDefault="00866CB1" w:rsidP="00866CB1">
      <w:pPr>
        <w:pStyle w:val="Lbjegyzetszveg"/>
        <w:rPr>
          <w:rFonts w:ascii="Calibri" w:eastAsia="Calibri" w:hAnsi="Calibri"/>
          <w:sz w:val="22"/>
          <w:szCs w:val="22"/>
        </w:rPr>
      </w:pPr>
      <w:r>
        <w:rPr>
          <w:rStyle w:val="Lbjegyzet-hivatkozs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="Calibri" w:eastAsia="Calibri" w:hAnsi="Calibri"/>
          <w:szCs w:val="16"/>
        </w:rPr>
        <w:t>Recovery</w:t>
      </w:r>
      <w:proofErr w:type="spellEnd"/>
      <w:r>
        <w:rPr>
          <w:rFonts w:ascii="Calibri" w:eastAsia="Calibri" w:hAnsi="Calibri"/>
          <w:szCs w:val="16"/>
        </w:rPr>
        <w:t xml:space="preserve"> Time </w:t>
      </w:r>
      <w:proofErr w:type="spellStart"/>
      <w:r>
        <w:rPr>
          <w:rFonts w:ascii="Calibri" w:eastAsia="Calibri" w:hAnsi="Calibri"/>
          <w:szCs w:val="16"/>
        </w:rPr>
        <w:t>Objective</w:t>
      </w:r>
      <w:proofErr w:type="spellEnd"/>
      <w:r>
        <w:rPr>
          <w:rFonts w:ascii="Calibri" w:eastAsia="Calibri" w:hAnsi="Calibri"/>
          <w:szCs w:val="16"/>
        </w:rPr>
        <w:t>:</w:t>
      </w:r>
      <w:r>
        <w:rPr>
          <w:rFonts w:asciiTheme="minorHAnsi" w:hAnsiTheme="minorHAnsi" w:cstheme="minorHAnsi"/>
          <w:bCs/>
          <w:iCs/>
          <w:szCs w:val="16"/>
        </w:rPr>
        <w:t xml:space="preserve"> elvárt helyreállítási idő</w:t>
      </w:r>
    </w:p>
  </w:footnote>
  <w:footnote w:id="2">
    <w:p w14:paraId="781D8974" w14:textId="77777777" w:rsidR="00866CB1" w:rsidRDefault="00866CB1" w:rsidP="00866CB1">
      <w:pPr>
        <w:pStyle w:val="Lbjegyzetszveg"/>
        <w:rPr>
          <w:rFonts w:asciiTheme="minorHAnsi" w:hAnsiTheme="minorHAnsi" w:cstheme="minorHAnsi"/>
          <w:szCs w:val="16"/>
        </w:rPr>
      </w:pPr>
      <w:r>
        <w:rPr>
          <w:rStyle w:val="Lbjegyzet-hivatkozs"/>
          <w:rFonts w:asciiTheme="minorHAnsi" w:hAnsiTheme="minorHAnsi" w:cstheme="minorHAnsi"/>
          <w:szCs w:val="16"/>
        </w:rPr>
        <w:footnoteRef/>
      </w:r>
      <w:r>
        <w:rPr>
          <w:rFonts w:asciiTheme="minorHAnsi" w:hAnsiTheme="minorHAnsi" w:cstheme="minorHAnsi"/>
          <w:szCs w:val="16"/>
        </w:rPr>
        <w:t xml:space="preserve"> </w:t>
      </w:r>
      <w:proofErr w:type="spellStart"/>
      <w:r>
        <w:rPr>
          <w:rFonts w:asciiTheme="minorHAnsi" w:eastAsia="Calibri" w:hAnsiTheme="minorHAnsi" w:cstheme="minorHAnsi"/>
          <w:szCs w:val="16"/>
        </w:rPr>
        <w:t>Recovery</w:t>
      </w:r>
      <w:proofErr w:type="spellEnd"/>
      <w:r>
        <w:rPr>
          <w:rFonts w:asciiTheme="minorHAnsi" w:eastAsia="Calibri" w:hAnsiTheme="minorHAnsi" w:cstheme="minorHAnsi"/>
          <w:szCs w:val="16"/>
        </w:rPr>
        <w:t xml:space="preserve"> </w:t>
      </w:r>
      <w:proofErr w:type="spellStart"/>
      <w:r>
        <w:rPr>
          <w:rFonts w:asciiTheme="minorHAnsi" w:eastAsia="Calibri" w:hAnsiTheme="minorHAnsi" w:cstheme="minorHAnsi"/>
          <w:szCs w:val="16"/>
        </w:rPr>
        <w:t>Point</w:t>
      </w:r>
      <w:proofErr w:type="spellEnd"/>
      <w:r>
        <w:rPr>
          <w:rFonts w:asciiTheme="minorHAnsi" w:eastAsia="Calibri" w:hAnsiTheme="minorHAnsi" w:cstheme="minorHAnsi"/>
          <w:szCs w:val="16"/>
        </w:rPr>
        <w:t xml:space="preserve"> </w:t>
      </w:r>
      <w:proofErr w:type="spellStart"/>
      <w:r>
        <w:rPr>
          <w:rFonts w:asciiTheme="minorHAnsi" w:eastAsia="Calibri" w:hAnsiTheme="minorHAnsi" w:cstheme="minorHAnsi"/>
          <w:szCs w:val="16"/>
        </w:rPr>
        <w:t>Objective</w:t>
      </w:r>
      <w:proofErr w:type="spellEnd"/>
      <w:r>
        <w:rPr>
          <w:rFonts w:asciiTheme="minorHAnsi" w:eastAsia="Calibri" w:hAnsiTheme="minorHAnsi" w:cstheme="minorHAnsi"/>
          <w:szCs w:val="16"/>
        </w:rPr>
        <w:t xml:space="preserve">: </w:t>
      </w:r>
      <w:r>
        <w:rPr>
          <w:rFonts w:asciiTheme="minorHAnsi" w:hAnsiTheme="minorHAnsi" w:cstheme="minorHAnsi"/>
          <w:bCs/>
          <w:iCs/>
          <w:szCs w:val="16"/>
        </w:rPr>
        <w:t>üzleti folyamatok és rendszerek helyreállítási pontja</w:t>
      </w:r>
    </w:p>
  </w:footnote>
  <w:footnote w:id="3">
    <w:p w14:paraId="202F1044" w14:textId="77777777" w:rsidR="00866CB1" w:rsidRDefault="00866CB1" w:rsidP="00866CB1">
      <w:pPr>
        <w:pStyle w:val="Lbjegyzetszveg"/>
        <w:rPr>
          <w:szCs w:val="16"/>
        </w:rPr>
      </w:pPr>
      <w:r>
        <w:rPr>
          <w:rStyle w:val="Lbjegyzet-hivatkozs"/>
        </w:rPr>
        <w:footnoteRef/>
      </w:r>
      <w:r>
        <w:t xml:space="preserve"> </w:t>
      </w:r>
      <w:r>
        <w:rPr>
          <w:rFonts w:asciiTheme="minorHAnsi" w:hAnsiTheme="minorHAnsi" w:cstheme="minorHAnsi"/>
          <w:szCs w:val="16"/>
        </w:rPr>
        <w:t xml:space="preserve">Business </w:t>
      </w:r>
      <w:proofErr w:type="spellStart"/>
      <w:r>
        <w:rPr>
          <w:rFonts w:asciiTheme="minorHAnsi" w:hAnsiTheme="minorHAnsi" w:cstheme="minorHAnsi"/>
          <w:szCs w:val="16"/>
        </w:rPr>
        <w:t>Continuity</w:t>
      </w:r>
      <w:proofErr w:type="spellEnd"/>
      <w:r>
        <w:rPr>
          <w:rFonts w:asciiTheme="minorHAnsi" w:hAnsiTheme="minorHAnsi" w:cstheme="minorHAnsi"/>
          <w:szCs w:val="16"/>
        </w:rPr>
        <w:t xml:space="preserve"> </w:t>
      </w:r>
      <w:proofErr w:type="spellStart"/>
      <w:r>
        <w:rPr>
          <w:rFonts w:asciiTheme="minorHAnsi" w:hAnsiTheme="minorHAnsi" w:cstheme="minorHAnsi"/>
          <w:szCs w:val="16"/>
        </w:rPr>
        <w:t>Plan</w:t>
      </w:r>
      <w:proofErr w:type="spellEnd"/>
      <w:r>
        <w:rPr>
          <w:rFonts w:asciiTheme="minorHAnsi" w:hAnsiTheme="minorHAnsi" w:cstheme="minorHAnsi"/>
          <w:szCs w:val="16"/>
        </w:rPr>
        <w:t xml:space="preserve">: üzletmenet-folytonossági terv </w:t>
      </w:r>
    </w:p>
  </w:footnote>
  <w:footnote w:id="4">
    <w:p w14:paraId="488FD48C" w14:textId="77777777" w:rsidR="00866CB1" w:rsidRDefault="00866CB1" w:rsidP="00866CB1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spellStart"/>
      <w:r>
        <w:rPr>
          <w:rFonts w:asciiTheme="minorHAnsi" w:hAnsiTheme="minorHAnsi" w:cstheme="minorHAnsi"/>
          <w:szCs w:val="16"/>
        </w:rPr>
        <w:t>Disaster</w:t>
      </w:r>
      <w:proofErr w:type="spellEnd"/>
      <w:r>
        <w:rPr>
          <w:rFonts w:asciiTheme="minorHAnsi" w:hAnsiTheme="minorHAnsi" w:cstheme="minorHAnsi"/>
          <w:szCs w:val="16"/>
        </w:rPr>
        <w:t xml:space="preserve"> </w:t>
      </w:r>
      <w:proofErr w:type="spellStart"/>
      <w:r>
        <w:rPr>
          <w:rFonts w:asciiTheme="minorHAnsi" w:hAnsiTheme="minorHAnsi" w:cstheme="minorHAnsi"/>
          <w:szCs w:val="16"/>
        </w:rPr>
        <w:t>Recovery</w:t>
      </w:r>
      <w:proofErr w:type="spellEnd"/>
      <w:r>
        <w:rPr>
          <w:rFonts w:asciiTheme="minorHAnsi" w:hAnsiTheme="minorHAnsi" w:cstheme="minorHAnsi"/>
          <w:szCs w:val="16"/>
        </w:rPr>
        <w:t xml:space="preserve"> </w:t>
      </w:r>
      <w:proofErr w:type="spellStart"/>
      <w:r>
        <w:rPr>
          <w:rFonts w:asciiTheme="minorHAnsi" w:hAnsiTheme="minorHAnsi" w:cstheme="minorHAnsi"/>
          <w:szCs w:val="16"/>
        </w:rPr>
        <w:t>Plan</w:t>
      </w:r>
      <w:proofErr w:type="spellEnd"/>
      <w:r>
        <w:rPr>
          <w:rFonts w:asciiTheme="minorHAnsi" w:hAnsiTheme="minorHAnsi" w:cstheme="minorHAnsi"/>
          <w:szCs w:val="16"/>
        </w:rPr>
        <w:t>: katasztrófa utáni helyreállítási terv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464E8"/>
    <w:multiLevelType w:val="hybridMultilevel"/>
    <w:tmpl w:val="7328656A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12B14"/>
    <w:multiLevelType w:val="hybridMultilevel"/>
    <w:tmpl w:val="130CF0B2"/>
    <w:lvl w:ilvl="0" w:tplc="9CC0F392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721B06"/>
    <w:multiLevelType w:val="hybridMultilevel"/>
    <w:tmpl w:val="583A3544"/>
    <w:lvl w:ilvl="0" w:tplc="78A27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EC70D3"/>
    <w:multiLevelType w:val="hybridMultilevel"/>
    <w:tmpl w:val="5596F162"/>
    <w:lvl w:ilvl="0" w:tplc="9FC0F04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764FB1"/>
    <w:multiLevelType w:val="hybridMultilevel"/>
    <w:tmpl w:val="FC5C135E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75165475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2873135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676005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976732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07322369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CB1"/>
    <w:rsid w:val="00866CB1"/>
    <w:rsid w:val="00A3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520C9"/>
  <w15:chartTrackingRefBased/>
  <w15:docId w15:val="{39CFDB64-D311-44C3-9E22-30F445924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66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866CB1"/>
    <w:rPr>
      <w:color w:val="0563C1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qFormat/>
    <w:rsid w:val="00866CB1"/>
    <w:pPr>
      <w:jc w:val="both"/>
    </w:pPr>
    <w:rPr>
      <w:sz w:val="16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66CB1"/>
    <w:rPr>
      <w:rFonts w:ascii="Times New Roman" w:eastAsia="Times New Roman" w:hAnsi="Times New Roman" w:cs="Times New Roman"/>
      <w:sz w:val="16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866CB1"/>
    <w:pPr>
      <w:spacing w:after="360"/>
      <w:jc w:val="both"/>
    </w:pPr>
    <w:rPr>
      <w:sz w:val="24"/>
      <w:lang w:eastAsia="en-US"/>
    </w:rPr>
  </w:style>
  <w:style w:type="character" w:customStyle="1" w:styleId="SzvegtrzsChar">
    <w:name w:val="Szövegtörzs Char"/>
    <w:basedOn w:val="Bekezdsalapbettpusa"/>
    <w:link w:val="Szvegtrzs"/>
    <w:semiHidden/>
    <w:rsid w:val="00866CB1"/>
    <w:rPr>
      <w:rFonts w:ascii="Times New Roman" w:eastAsia="Times New Roman" w:hAnsi="Times New Roman" w:cs="Times New Roman"/>
      <w:sz w:val="24"/>
      <w:szCs w:val="20"/>
    </w:rPr>
  </w:style>
  <w:style w:type="character" w:customStyle="1" w:styleId="ListaszerbekezdsChar">
    <w:name w:val="Listaszerű bekezdés Char"/>
    <w:link w:val="Listaszerbekezds"/>
    <w:uiPriority w:val="34"/>
    <w:locked/>
    <w:rsid w:val="00866CB1"/>
    <w:rPr>
      <w:rFonts w:ascii="Times New Roman" w:eastAsia="Times New Roman" w:hAnsi="Times New Roman" w:cs="Times New Roman"/>
    </w:rPr>
  </w:style>
  <w:style w:type="paragraph" w:styleId="Listaszerbekezds">
    <w:name w:val="List Paragraph"/>
    <w:basedOn w:val="Norml"/>
    <w:link w:val="ListaszerbekezdsChar"/>
    <w:uiPriority w:val="34"/>
    <w:qFormat/>
    <w:rsid w:val="00866CB1"/>
    <w:pPr>
      <w:ind w:left="708"/>
    </w:pPr>
    <w:rPr>
      <w:sz w:val="22"/>
      <w:szCs w:val="22"/>
      <w:lang w:eastAsia="en-US"/>
    </w:rPr>
  </w:style>
  <w:style w:type="character" w:styleId="Lbjegyzet-hivatkozs">
    <w:name w:val="footnote reference"/>
    <w:uiPriority w:val="99"/>
    <w:semiHidden/>
    <w:unhideWhenUsed/>
    <w:qFormat/>
    <w:rsid w:val="00866C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5966">
          <w:marLeft w:val="0"/>
          <w:marRight w:val="0"/>
          <w:marTop w:val="0"/>
          <w:marBottom w:val="0"/>
          <w:divBdr>
            <w:top w:val="single" w:sz="6" w:space="0" w:color="F5F5F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4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2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opten.hu/cegtar/cimlista/?caddrsearch=2%3B3258389A&amp;caddrnovalchk=1&amp;caddrsite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963</Words>
  <Characters>6645</Characters>
  <Application>Microsoft Office Word</Application>
  <DocSecurity>0</DocSecurity>
  <Lines>55</Lines>
  <Paragraphs>15</Paragraphs>
  <ScaleCrop>false</ScaleCrop>
  <Company/>
  <LinksUpToDate>false</LinksUpToDate>
  <CharactersWithSpaces>7593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Krisztina BBalazs</dc:creator>
  <cp:keywords/>
  <dc:description/>
  <cp:lastModifiedBy>Krisztina BBalazs</cp:lastModifiedBy>
  <cp:revision>1</cp:revision>
  <dcterms:created xsi:type="dcterms:W3CDTF">2022-12-15T08:46:00Z</dcterms:created>
  <dcterms:modified xsi:type="dcterms:W3CDTF">2022-12-15T08:50:00Z</dcterms:modified>
</cp:coreProperties>
</file>